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REGULAMIN PROCESU REKRUTACJI I SELEKCJI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 xml:space="preserve">projektu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color w:val="000000" w:themeColor="text1"/>
        </w:rPr>
        <w:t>„Pomyślny wiatr”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cstheme="minorHAnsi" w:ascii="Calibri" w:hAnsi="Calibri"/>
          <w:b/>
          <w:color w:val="000000" w:themeColor="text1"/>
        </w:rPr>
      </w:r>
    </w:p>
    <w:p>
      <w:pPr>
        <w:pStyle w:val="Stopka"/>
        <w:tabs>
          <w:tab w:val="left" w:pos="3120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Projekt realizowany jest w ramach</w:t>
      </w:r>
      <w:r>
        <w:rPr>
          <w:rFonts w:cs="Arial" w:ascii="Arial" w:hAnsi="Arial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RPWM.11.02.03 Ułatwienie dostępu do usług społecznych, w tym integracja ze środowiskiem lokalnym-projekty konkursowe,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w ramach </w:t>
      </w:r>
      <w:r>
        <w:rPr>
          <w:rFonts w:cs="Calibri" w:ascii="Calibri" w:hAnsi="Calibri" w:asciiTheme="minorHAnsi" w:cstheme="minorHAnsi" w:hAnsiTheme="minorHAnsi"/>
          <w:b/>
        </w:rPr>
        <w:t>Regionalnego Programu Operacyjnego Województwa Warmińsko-Mazurskiego na lata 2014-2020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realizowanego przez Stowarzyszenie Monti w partnerstwie z Fundacją „Plan B”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z Gminnym Ośrodkiem Pomocy Społecznej w Wydminach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§1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Przepisy ogólne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cstheme="minorHAnsi" w:ascii="Calibri" w:hAnsi="Calibri"/>
          <w:b/>
          <w:color w:val="000000" w:themeColor="text1"/>
        </w:rPr>
      </w:r>
    </w:p>
    <w:p>
      <w:pPr>
        <w:pStyle w:val="ListParagraph"/>
        <w:widowControl/>
        <w:numPr>
          <w:ilvl w:val="0"/>
          <w:numId w:val="4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Projekt jest współfinansowany ze środków Unii Europejskiej w ramach Europejskiego Funduszu Społecznego na podstawie Umowy  nr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 RPWM.11.02.03-28-0171/19-00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Czas trwania projektu: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01.09.2020 r. – 31.08.2021 r.</w:t>
      </w:r>
    </w:p>
    <w:p>
      <w:pPr>
        <w:pStyle w:val="ListParagraph"/>
        <w:widowControl/>
        <w:numPr>
          <w:ilvl w:val="0"/>
          <w:numId w:val="4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Uczestnikami projektu będzie co najmniej 14 rodzin (53 osoby) zamieszkujących gminę Wydminy, korzystających ze świadczeń Gminnego Ośrodka Pomocy Społecznej                           w Wydminach</w:t>
      </w:r>
      <w:r>
        <w:rPr>
          <w:rFonts w:cs="Calibri" w:ascii="Calibri" w:hAnsi="Calibri" w:asciiTheme="minorHAnsi" w:cstheme="minorHAnsi" w:hAnsiTheme="minorHAnsi"/>
        </w:rPr>
        <w:t xml:space="preserve">,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zagrożonych ubóstwem lub wykluczeniem społecznym, przeżywających problemy opiekuńczo-wychowawcze. </w:t>
      </w:r>
    </w:p>
    <w:p>
      <w:pPr>
        <w:pStyle w:val="ListParagraph"/>
        <w:widowControl/>
        <w:numPr>
          <w:ilvl w:val="0"/>
          <w:numId w:val="4"/>
        </w:numPr>
        <w:rPr>
          <w:rFonts w:ascii="Calibri" w:hAnsi="Calibri" w:eastAsia="Calibri" w:cs="Calibri" w:asciiTheme="minorHAnsi" w:cstheme="minorHAnsi" w:eastAsia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Wsparcie dla Beneficjentów/ek Ostatecznych obejmuje cykl działań</w:t>
      </w:r>
      <w:r>
        <w:rPr>
          <w:rFonts w:eastAsia="Calibri" w:cs="NimbusSanL-Regu" w:ascii="NimbusSanL-Regu" w:hAnsi="NimbusSanL-Regu" w:eastAsiaTheme="minorHAnsi"/>
          <w:color w:val="000000" w:themeColor="text1"/>
          <w:sz w:val="19"/>
          <w:szCs w:val="19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lang w:eastAsia="en-US"/>
        </w:rPr>
        <w:t>zgodnie z zakresem usług określonym w ustawie z dnia 9 czerwca 2011 r. o wspieraniu rodziny i systemie pieczy zastępczej</w:t>
      </w: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w następującym zakresie</w:t>
      </w: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lang w:eastAsia="en-US"/>
        </w:rPr>
        <w:t>:</w:t>
      </w:r>
    </w:p>
    <w:p>
      <w:pPr>
        <w:pStyle w:val="ListParagraph"/>
        <w:widowControl/>
        <w:ind w:left="360" w:hanging="0"/>
        <w:rPr>
          <w:rFonts w:ascii="Calibri" w:hAnsi="Calibri" w:eastAsia="Calibri" w:cs="Calibri" w:asciiTheme="minorHAnsi" w:cstheme="minorHAnsi" w:eastAsiaTheme="minorHAnsi" w:hAnsiTheme="minorHAnsi"/>
          <w:lang w:eastAsia="en-US"/>
        </w:rPr>
      </w:pPr>
      <w:r>
        <w:rPr>
          <w:rFonts w:eastAsia="Calibri" w:cs="Calibri" w:cstheme="minorHAnsi" w:eastAsiaTheme="minorHAnsi" w:ascii="Calibri" w:hAnsi="Calibri"/>
          <w:lang w:eastAsia="en-US"/>
        </w:rPr>
      </w:r>
    </w:p>
    <w:tbl>
      <w:tblPr>
        <w:tblW w:w="7680" w:type="dxa"/>
        <w:jc w:val="left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80"/>
      </w:tblGrid>
      <w:tr>
        <w:trPr>
          <w:trHeight w:val="357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1. Poradnictwo specjalistyczne w tym:</w:t>
            </w:r>
          </w:p>
        </w:tc>
      </w:tr>
      <w:tr>
        <w:trPr>
          <w:trHeight w:val="419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Prawno-obywatelskie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Rodzinne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Psychologiczne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Społeczno-obywatelskie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2.Wsparcie terapeutyczne dla osób i członków rodzin z problemami alkoholowymi i/lub współuzależnieniem -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3. Szkołę dla Rodziców-warsztaty wsparcia rodzin w rozwiązywaniu problemów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Opiekuńczo-wychowawczych, zmierzające do świadomego i odpowiedzialnego podejmowania i realizacji funkcji wynikających z rodzicielstwa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4. Animacje dla rodzin z dziećmi- Usługi, mające na celu wzmocnienie więzi rodzinnych przy jednoczesnym rozwoju wiedzy lub kształtowaniu postaw, służących polepszeniu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funkcjonowania rodziny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5. Grupy zabawowe i zajęcia dla młodzieży-usługi dla rodzin z dziećmi i zajęcia dla młodzieży wraz z zapewnieniem organizacji czasu, możliwości rozwoju osobistego oraz rozwijania zainteresowań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6. Treningi i warsztaty psychospołeczne – wsparcie umiejętności społecznych rodzin.</w:t>
            </w:r>
          </w:p>
        </w:tc>
      </w:tr>
      <w:tr>
        <w:trPr>
          <w:trHeight w:val="411" w:hRule="atLeast"/>
        </w:trPr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7. Asystentura rodzinna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Regulamin Projektu określa zasady uczestnictwa w projekcie, w szczególności:</w:t>
      </w:r>
    </w:p>
    <w:p>
      <w:pPr>
        <w:pStyle w:val="Normal"/>
        <w:widowControl/>
        <w:numPr>
          <w:ilvl w:val="0"/>
          <w:numId w:val="2"/>
        </w:numPr>
        <w:suppressAutoHyphens w:val="true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Przepisy ogólne</w:t>
      </w:r>
    </w:p>
    <w:p>
      <w:pPr>
        <w:pStyle w:val="Normal"/>
        <w:widowControl/>
        <w:numPr>
          <w:ilvl w:val="0"/>
          <w:numId w:val="2"/>
        </w:numPr>
        <w:suppressAutoHyphens w:val="true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Kryteria uczestnictwa w projekcie</w:t>
      </w:r>
    </w:p>
    <w:p>
      <w:pPr>
        <w:pStyle w:val="Normal"/>
        <w:widowControl/>
        <w:numPr>
          <w:ilvl w:val="0"/>
          <w:numId w:val="2"/>
        </w:numPr>
        <w:suppressAutoHyphens w:val="true"/>
        <w:rPr>
          <w:rFonts w:ascii="Calibri" w:hAnsi="Calibri" w:cs="Calibri" w:asciiTheme="minorHAnsi" w:cstheme="minorHAnsi" w:hAnsiTheme="minorHAnsi"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Zasady rekrutacji i przyjmowania zgłoszeń</w:t>
      </w:r>
    </w:p>
    <w:p>
      <w:pPr>
        <w:pStyle w:val="Normal"/>
        <w:widowControl/>
        <w:numPr>
          <w:ilvl w:val="0"/>
          <w:numId w:val="2"/>
        </w:numPr>
        <w:suppressAutoHyphens w:val="true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</w:rPr>
        <w:t>Wsparcie towarzyszące</w:t>
      </w:r>
    </w:p>
    <w:p>
      <w:pPr>
        <w:pStyle w:val="Normal"/>
        <w:widowControl/>
        <w:numPr>
          <w:ilvl w:val="0"/>
          <w:numId w:val="2"/>
        </w:numPr>
        <w:suppressAutoHyphens w:val="true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Zasady monitoringu uczestników w trakcie trwania projektu</w:t>
      </w:r>
    </w:p>
    <w:p>
      <w:pPr>
        <w:pStyle w:val="Normal"/>
        <w:widowControl/>
        <w:numPr>
          <w:ilvl w:val="0"/>
          <w:numId w:val="2"/>
        </w:numPr>
        <w:suppressAutoHyphens w:val="true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Zasady rezygnacji z uczestnictwa w projekcie</w:t>
      </w:r>
    </w:p>
    <w:p>
      <w:pPr>
        <w:pStyle w:val="Normal"/>
        <w:widowControl/>
        <w:suppressAutoHyphens w:val="true"/>
        <w:ind w:left="720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cstheme="minorHAnsi" w:ascii="Calibri" w:hAnsi="Calibri"/>
          <w:b/>
          <w:color w:val="000000" w:themeColor="text1"/>
        </w:rPr>
      </w:r>
    </w:p>
    <w:p>
      <w:pPr>
        <w:pStyle w:val="Normal"/>
        <w:tabs>
          <w:tab w:val="left" w:pos="142" w:leader="none"/>
        </w:tabs>
        <w:suppressAutoHyphens w:val="true"/>
        <w:spacing w:before="0" w:after="28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5. Ogólny nadzór nad realizacją Projektu oraz rozstrzyganie spraw nie uregulowanych   regulaminie należy do kompetencji Koordynatora Projektu oraz prezesa Stowarzyszenia Monti.</w:t>
      </w:r>
    </w:p>
    <w:p>
      <w:pPr>
        <w:pStyle w:val="Normal"/>
        <w:tabs>
          <w:tab w:val="left" w:pos="142" w:leader="none"/>
        </w:tabs>
        <w:suppressAutoHyphens w:val="true"/>
        <w:spacing w:before="0" w:after="280"/>
        <w:ind w:left="0" w:hanging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6. Definicje użyte na potrzeby niniejszego regulaminu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Beneficjent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/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Lider projektu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- Stowarzyszenie Monti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Partner Projektu A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– Fundacja „Plan B”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Partner Projektu B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– Gminny Ośrodek Pomocy Społecznej w Wydminach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Uczestnik/czka/rodzina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– kandydat/ka, rodzina który/a spełnił/a wszystkie wymogi formalne określone we wniosku o dofinansowanie projektu oraz otrzymał/a pozytywną opinię kwalifikacyjną wydaną przez komisję rekrutacyjną.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Deklaracja uczestnictwa w projekcie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– dokument stanowiący wyrażenie zgody na udział               w projekcie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.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Kandydat/ka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– osoba ubiegająca się o zakwalifikowanie do udziału w projekcie.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 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Komisja Rekrutacyjna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– zespół, którego zadaniem jest wybór rodzin spełniających wymogi kwalifikacyjne do udziału w projekcie.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uppressAutoHyphens w:val="true"/>
        <w:spacing w:before="0" w:after="28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Organizator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- Stowarzyszenie Monti</w:t>
      </w:r>
    </w:p>
    <w:p>
      <w:pPr>
        <w:pStyle w:val="Stopka"/>
        <w:tabs>
          <w:tab w:val="left" w:pos="3120" w:leader="none"/>
        </w:tabs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Projekt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– należy przez to rozumieć projekt p.n.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color w:val="000000" w:themeColor="text1"/>
        </w:rPr>
        <w:t>„Pomyślny wiatr”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realizowany w </w:t>
      </w:r>
      <w:r>
        <w:rPr>
          <w:rFonts w:cs="Calibri" w:ascii="Calibri" w:hAnsi="Calibri" w:asciiTheme="minorHAnsi" w:cstheme="minorHAnsi" w:hAnsiTheme="minorHAnsi"/>
          <w:i/>
        </w:rPr>
        <w:t xml:space="preserve">ramach </w:t>
      </w:r>
      <w:r>
        <w:rPr>
          <w:rFonts w:cs="Calibri" w:ascii="Calibri" w:hAnsi="Calibri" w:asciiTheme="minorHAnsi" w:cstheme="minorHAnsi" w:hAnsiTheme="minorHAnsi"/>
        </w:rPr>
        <w:t xml:space="preserve">RPWM.11.02.03 Ułatwienie dostępu do usług społecznych, w tym integracja ze środowiskiem lokalnym-projekty konkursowe,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 ramach </w:t>
      </w:r>
      <w:r>
        <w:rPr>
          <w:rFonts w:cs="Calibri" w:ascii="Calibri" w:hAnsi="Calibri" w:asciiTheme="minorHAnsi" w:cstheme="minorHAnsi" w:hAnsiTheme="minorHAnsi"/>
        </w:rPr>
        <w:t>Regionalnego Programu Operacyjnego Województwa Warmińsko-Mazurskiego na lata 2014-2020</w:t>
      </w:r>
    </w:p>
    <w:p>
      <w:pPr>
        <w:pStyle w:val="Normal"/>
        <w:tabs>
          <w:tab w:val="left" w:pos="142" w:leader="none"/>
        </w:tabs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cstheme="minorHAnsi" w:ascii="Calibri" w:hAnsi="Calibri"/>
          <w:b/>
          <w:color w:val="000000" w:themeColor="text1"/>
        </w:rPr>
      </w:r>
    </w:p>
    <w:p>
      <w:pPr>
        <w:pStyle w:val="Normal"/>
        <w:tabs>
          <w:tab w:val="left" w:pos="142" w:leader="none"/>
        </w:tabs>
        <w:ind w:hanging="426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§2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Kryteria uczestnictwa w projekcie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cstheme="minorHAnsi" w:ascii="Calibri" w:hAnsi="Calibri"/>
          <w:b/>
          <w:color w:val="000000" w:themeColor="text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 projekcie uczestniczyć mogą rodziny spełniające wszystkie poniższe kryteria Uczestników/czek projektu tj. </w:t>
      </w:r>
    </w:p>
    <w:p>
      <w:pPr>
        <w:pStyle w:val="ListParagraph"/>
        <w:widowControl/>
        <w:numPr>
          <w:ilvl w:val="0"/>
          <w:numId w:val="11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Osoby/rodziny zamieszkujące gminę Wydminy, </w:t>
      </w:r>
    </w:p>
    <w:p>
      <w:pPr>
        <w:pStyle w:val="ListParagraph"/>
        <w:widowControl/>
        <w:numPr>
          <w:ilvl w:val="0"/>
          <w:numId w:val="11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Osoby/rodziny korzystające ze wsparcia Gminnego Ośrodka Pomocy Społecznej w Wydminach.</w:t>
      </w:r>
    </w:p>
    <w:p>
      <w:pPr>
        <w:pStyle w:val="ListParagraph"/>
        <w:widowControl/>
        <w:numPr>
          <w:ilvl w:val="0"/>
          <w:numId w:val="11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Arial" w:ascii="Calibri" w:hAnsi="Calibri" w:asciiTheme="minorHAnsi" w:hAnsiTheme="minorHAnsi"/>
          <w:color w:val="333333"/>
          <w:shd w:fill="FFFFFF" w:val="clear"/>
        </w:rPr>
        <w:t>Osoby/rodziny znajdujące się w trudnej sytuacji życiowej, zagrożone ubóstwem lub wykluczeniem społecznym, </w:t>
      </w:r>
    </w:p>
    <w:p>
      <w:pPr>
        <w:pStyle w:val="ListParagraph"/>
        <w:widowControl/>
        <w:numPr>
          <w:ilvl w:val="0"/>
          <w:numId w:val="11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Arial" w:ascii="Calibri" w:hAnsi="Calibri" w:asciiTheme="minorHAnsi" w:hAnsiTheme="minorHAnsi"/>
          <w:color w:val="333333"/>
          <w:shd w:fill="FFFFFF" w:val="clear"/>
        </w:rPr>
        <w:t>Osoby/rodziny z problemami opiekuńczo-wychowawczymi, rodzice wykazujący  trudności w wypełnianiu funkcji opiekuńczo-wychowawczych</w:t>
      </w:r>
    </w:p>
    <w:p>
      <w:pPr>
        <w:pStyle w:val="ListParagraph"/>
        <w:widowControl/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eastAsia="Calibri" w:cs="NimbusSanL-Regu" w:ascii="NimbusSanL-Regu" w:hAnsi="NimbusSanL-Regu" w:eastAsiaTheme="minorHAnsi"/>
          <w:sz w:val="19"/>
          <w:szCs w:val="19"/>
          <w:u w:val="single"/>
          <w:lang w:eastAsia="en-US"/>
        </w:rPr>
        <w:t>(bez możliwości wsparcia dla osób odbywających karę pozbawienia wolności</w:t>
      </w:r>
      <w:r>
        <w:rPr>
          <w:rFonts w:eastAsia="Calibri" w:cs="NimbusSanL-Regu" w:ascii="NimbusSanL-Regu" w:hAnsi="NimbusSanL-Regu" w:eastAsiaTheme="minorHAnsi"/>
          <w:sz w:val="19"/>
          <w:szCs w:val="19"/>
          <w:lang w:eastAsia="en-US"/>
        </w:rPr>
        <w:t>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Warunkiem uczestnictwa w projekcie jest potwierdzenie spełniania powyższych kryteriów zawartych dokonane własnoręcznym podpisem pod oświadczeniem znajdującym się  w kwestionariuszu/formularzu osobowym uczestnika projektu stanowiącym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załącznik nr 1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do niniejszego regulaminu oraz wypełnienie i dostarczenie w terminie określonym w 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§3 pkt 4:</w:t>
      </w:r>
    </w:p>
    <w:p>
      <w:pPr>
        <w:pStyle w:val="Normal"/>
        <w:widowControl/>
        <w:suppressAutoHyphens w:val="true"/>
        <w:ind w:left="720" w:hanging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widowControl/>
        <w:numPr>
          <w:ilvl w:val="0"/>
          <w:numId w:val="7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Załącznik 2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- Deklaracji uczestnictwa w projekcie</w:t>
      </w:r>
    </w:p>
    <w:p>
      <w:pPr>
        <w:pStyle w:val="Normal"/>
        <w:widowControl/>
        <w:numPr>
          <w:ilvl w:val="0"/>
          <w:numId w:val="7"/>
        </w:numPr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Załącznik 3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– </w:t>
      </w:r>
      <w:r>
        <w:rPr>
          <w:rFonts w:cs="Calibri" w:ascii="Calibri" w:hAnsi="Calibri" w:asciiTheme="minorHAnsi" w:cstheme="minorHAnsi" w:hAnsiTheme="minorHAnsi"/>
        </w:rPr>
        <w:t>Oświadczenia uczestnika projektu</w:t>
      </w:r>
    </w:p>
    <w:p>
      <w:pPr>
        <w:pStyle w:val="Normal"/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Kandydat/ka/rodzina, która nie dostarczy wymaganych dokumentów w określonym  czasie  zostanie wykluczony/a z  etapu rekrutacji i tym samym wyłączony/a z udziału w projekcie. Za małoletnie dzieci powyższe dokumenty wypełnią rodzice lub opiekunowie prawni.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Zasady uczestnictwa w projekcie zgodne są z polityką równych szans i niedyskryminacji. W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projekcie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zakładamy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równy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dostęp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4"/>
        </w:rPr>
        <w:t>wszystkich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uczestników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do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form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wsparcia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3"/>
        </w:rPr>
        <w:t>ze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szczególnym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uwzględnieniem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osób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niepełnosprawnych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o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3"/>
        </w:rPr>
        <w:t>różnych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potrzebach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funkcjonalnych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Na potrzeby rekrutacji ustalono punktację rozstrzygającą o kwalifikowalności rodzin do projektu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-  I etap rekrutacji warunkowy ( dostarczenie i niezbędnych dokumentów)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- II etap rekrutacji o zakwalifikowaniu decyduje  ilość punktów zaczynając od największej                       (lista rankingowa).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I etap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złożone dokumenty</w:t>
      </w:r>
    </w:p>
    <w:p>
      <w:pPr>
        <w:pStyle w:val="Normal"/>
        <w:tabs>
          <w:tab w:val="left" w:pos="0" w:leader="none"/>
        </w:tabs>
        <w:ind w:firstLine="708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tbl>
      <w:tblPr>
        <w:tblW w:w="7381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6846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LP</w:t>
            </w:r>
          </w:p>
        </w:tc>
        <w:tc>
          <w:tcPr>
            <w:tcW w:w="6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RODZAJ DOKUMENTU ZŁOŻONY PRZEZ WSZYSTKICH CZŁONKÓW RODZINY ZGŁOSZONYCH DO PROJEKTU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1.</w:t>
            </w:r>
          </w:p>
        </w:tc>
        <w:tc>
          <w:tcPr>
            <w:tcW w:w="6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Załącznik 1. /Kwestionariusz-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Formularz osobowy uczestnika projektu</w:t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2.</w:t>
            </w:r>
          </w:p>
        </w:tc>
        <w:tc>
          <w:tcPr>
            <w:tcW w:w="6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Załącznik 2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- Deklaracja uczestnictwa w projekcie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3.</w:t>
            </w:r>
          </w:p>
        </w:tc>
        <w:tc>
          <w:tcPr>
            <w:tcW w:w="6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Załącznik 3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 xml:space="preserve"> - Oświadczenia uczestnika projektu</w:t>
            </w:r>
          </w:p>
        </w:tc>
      </w:tr>
    </w:tbl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II  etap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kryteria selekcji 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tbl>
      <w:tblPr>
        <w:tblW w:w="1031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1"/>
        <w:gridCol w:w="6978"/>
        <w:gridCol w:w="2840"/>
      </w:tblGrid>
      <w:tr>
        <w:trPr>
          <w:trHeight w:val="399" w:hRule="atLeast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LP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KRYTERIA REKRUTACJI RODZINY (priorytety)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PUNKTY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sz w:val="16"/>
                <w:szCs w:val="16"/>
              </w:rPr>
              <w:t>wszystkim członkom jednej rodziny nadaje się taką samą liczbę punktów )</w:t>
            </w:r>
          </w:p>
        </w:tc>
      </w:tr>
      <w:tr>
        <w:trPr>
          <w:trHeight w:val="222" w:hRule="atLeast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1.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Osoba/rodzina* zagrożona ubóstwem lub wykluczeniem społecznym doświadczające wielokrotnego wykluczenia społecznego z powodu poniższych przesłanek: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1)ubóstwa;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2)sieroctwa;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3)bezdomności;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4)bezrobocia;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5)niepełnosprawności;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6)długotrwałej lub ciężkiej choroby;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7)przemocy w rodzinie;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7a)potrzeby ochrony ofiar handlu ludźmi;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8)potrzeby ochrony macierzyństwa lub wielodzietności;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9)bezradności w sprawach opiekuńczo-wychowawczych i prowadzenia gospodarstwa domowego, zwłaszcza w rodzinach niepełnych lub wielodzietnych;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10)trudności w integracji cudzoziemców, którzy uzyskali w Rzeczypospolitej Polskiej status uchodźcy, ochronę uzupełniającą lub zezwolenie na pobyt czasowy udzielone w związku z okolicznością, o której mowa w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 art. 159</w:t>
            </w:r>
            <w:r>
              <w:rPr>
                <w:rFonts w:cs="Calibri" w:ascii="Calibri" w:hAnsi="Calibri" w:asciiTheme="minorHAnsi" w:cstheme="minorHAnsi" w:hAnsiTheme="minorHAnsi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>przesłanki obligatoryjnego udzielenia zezwolenia na pobyt czasowy w celu połączenia się z rodziną</w:t>
            </w:r>
            <w:r>
              <w:rPr>
                <w:rFonts w:cs="Calibri" w:ascii="Calibri" w:hAnsi="Calibri" w:asciiTheme="minorHAnsi" w:cstheme="minorHAnsi" w:hAnsiTheme="minorHAnsi"/>
              </w:rPr>
              <w:t> ust. 1 pkt 1 lit. c lub d ustawy z dnia 12 grudnia 2013 r. o cudzoziemcach;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11)trudności w przystosowaniu do życia po zwolnieniu z zakładu karnego;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12)alkoholizmu lub narkomanii;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13)zdarzenia losowego i sytuacji kryzysowej;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14)klęski żywiołowej lub ekologicznej.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cstheme="minorHAnsi" w:ascii="Calibri" w:hAnsi="Calibri"/>
                <w:color w:val="000000" w:themeColor="text1"/>
              </w:rPr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(3 i więcej przesłanek -5 pkt,2 przesłanki -2 pkt)</w:t>
            </w:r>
          </w:p>
        </w:tc>
      </w:tr>
      <w:tr>
        <w:trPr>
          <w:trHeight w:val="69" w:hRule="atLeast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2.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osoba* o znacznym lub umiarkowanym stopniu niepełnosprawności oraz z niepełnosprawnością sprzężoną oraz osoby z zaburzeniami psychicznymi, w tym osoby z niepełnosprawnością intelektualną i osoby z całościowymi zaburzeniami rozwojowymi oraz członkowie rodzin w których znajdują się  w/w osoby*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5 pkt</w:t>
            </w:r>
          </w:p>
        </w:tc>
      </w:tr>
      <w:tr>
        <w:trPr>
          <w:trHeight w:val="321" w:hRule="atLeast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3.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Osoba/rodzina korzystająca z Programu Operacyjnego Pomoc Żywnościowa 2014 - 2020 (PO PŻ) *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</w:rPr>
              <w:t>5 pkt</w:t>
            </w:r>
          </w:p>
        </w:tc>
      </w:tr>
      <w:tr>
        <w:trPr>
          <w:trHeight w:val="237" w:hRule="atLeast"/>
        </w:trPr>
        <w:tc>
          <w:tcPr>
            <w:tcW w:w="7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right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Łącznie ilość punktów do zdobycia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</w:rPr>
              <w:t>15 pkt</w:t>
            </w:r>
          </w:p>
        </w:tc>
      </w:tr>
    </w:tbl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*</w:t>
      </w:r>
      <w:r>
        <w:rPr>
          <w:rFonts w:cs="Calibri" w:ascii="Calibri" w:hAnsi="Calibri" w:asciiTheme="minorHAnsi" w:cstheme="minorHAnsi" w:hAnsiTheme="minorHAnsi"/>
          <w:color w:val="000000" w:themeColor="text1"/>
          <w:sz w:val="18"/>
          <w:szCs w:val="18"/>
        </w:rPr>
        <w:t>osoba w rozumieniu członek rodziny. Punktację dla rodziny stosuje się łącznie. Zostanie ona dostosowana względem pozostałych członków rodziny w wypadku gdy przynajmniej jeden z jej członków spełnia przesłanki wyżej wymienione o wyższej punktacji.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eastAsia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W przypadku rodzin spełniających wymagane kryteria rekrutacyjne, które uzyskały taką samą ilość punktów z  II etapu rekrutacji decydować będzie w pierwszej kolejności priorytet dla rodzin wielodzietnych, później priorytet dla rodzin z grupy inicjatywnej, deklarujących chęć uczestnictwa na etapie projektowania wniosku. Zostanie stworzona lista rezerwowa w przypadku większej ilości zgłoszeń. W celu ustalenia faktu uczestnictwa w/w, są wysyłane pisma z zapytaniem do instytucji i organizacji zajmujących się realizowaniem projektów na terenie gminy Wydminy.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Pracownicy socjalni GOPS Wydminy potwierdzą w formularzu osobowym uczestnika, że na podstawie przeprowadzonego wywiadu środowiskowego rodzina kwalifikuje się do udziału  w 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„Pomyślny wiatr”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§3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Rekrutacja i przyjmowanie zgłoszeń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suppressAutoHyphens w:val="true"/>
        <w:spacing w:before="280" w:after="0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Rekrutacja dokonywana jest przez Komisję Rekrutacyjną w składzie: przedstawiciel zarządu Lidera i  przedstawiciel GOPS Wydminy.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suppressAutoHyphens w:val="true"/>
        <w:spacing w:before="280" w:after="0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Procedura rekrutacji obejmuje etapy zgodne z planem rekrutacji: </w:t>
      </w:r>
    </w:p>
    <w:p>
      <w:pPr>
        <w:pStyle w:val="ListParagraph"/>
        <w:widowControl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weryfikacja kwalifikowalności potencjalnych uczestników, </w:t>
      </w:r>
    </w:p>
    <w:p>
      <w:pPr>
        <w:pStyle w:val="ListParagraph"/>
        <w:widowControl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propozycja współpracy, </w:t>
      </w:r>
    </w:p>
    <w:p>
      <w:pPr>
        <w:pStyle w:val="ListParagraph"/>
        <w:widowControl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wypełnienie formularza rekrutacyjnego (możliwe elektronicznie - oszczędność papieru, dostępność dla osób niemobilnych, niepełnosprawnych), </w:t>
      </w:r>
    </w:p>
    <w:p>
      <w:pPr>
        <w:pStyle w:val="ListParagraph"/>
        <w:widowControl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dostosowanie wsparcia, ustalenie składu grupy przez Komisję Rekrutacyjną, </w:t>
      </w:r>
    </w:p>
    <w:p>
      <w:pPr>
        <w:pStyle w:val="ListParagraph"/>
        <w:widowControl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podpisanie kontraktu socjalnego przez pracowników socjalnych Partnera B. 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Zgłoszenie chęci uczestnictwa rodziny w projekcie dokonane może być za pośrednictwem poczty tradycyjnej, elektronicznej lub osobiście w Stowarzyszeniu Monti lub w GOPS Wydminy od poniedziałku do piątku w godzinach 8:00 - 15:00 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Proces rekrutacji i selekcji trwa od 01.09.2020 do 30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.09.2020. W przypadku braku wystarczającej liczby zgłoszeń Organizator zastrzega sobie prawo do przedłużenia okresu trwania procesu rekrutacyjnego. 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W przypadku większej liczby zgłoszeń zostanie utworzona lista rezerwowa rodzin, które w okresie rekrutacji potwierdzą pisemnie chęć uczestnictwa w projekcie oraz dostarczą komplet dokumentów określonych w regulaminie</w:t>
      </w:r>
    </w:p>
    <w:p>
      <w:pPr>
        <w:pStyle w:val="Normal"/>
        <w:spacing w:before="280" w:after="280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 xml:space="preserve">§ 4 </w:t>
        <w:br/>
        <w:t>Kwalifikacja uczestników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</w:tabs>
        <w:suppressAutoHyphens w:val="true"/>
        <w:spacing w:before="280" w:after="0"/>
        <w:ind w:left="0" w:hanging="426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Kwalifikacji kandydatów dokonuje Komisja Rekrutacyjna do dnia 02.10.2020 na podstawie, kompletności złożonych dokumentów oraz przy uwzględnieniu kryteriów rekrutacji.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 w:ascii="Calibri" w:hAnsi="Calibri"/>
          <w:b/>
          <w:bCs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§ 5</w:t>
        <w:br/>
        <w:t>Wsparcie towarzyszące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ListParagraph"/>
        <w:numPr>
          <w:ilvl w:val="1"/>
          <w:numId w:val="3"/>
        </w:numPr>
        <w:ind w:left="142" w:hanging="426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Rodziny uczestniczące w projekcie mogą ubiegać się o zwrot kosztów dojazdu najtańszym, publicznym, dostępnym na danej trasie środkiem transportu lub otrzymają bilety komunikacji miejskiej, lub skorzystają z transportu zorganizowanego przez Lidera projektu.</w:t>
      </w:r>
    </w:p>
    <w:p>
      <w:pPr>
        <w:pStyle w:val="ListParagraph"/>
        <w:ind w:left="1440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§ 6</w:t>
        <w:br/>
        <w:t>Zasady monitoringu Beneficjentów Ostatecznych w trakcie szkoleń</w:t>
      </w:r>
    </w:p>
    <w:p>
      <w:pPr>
        <w:pStyle w:val="Normal"/>
        <w:widowControl/>
        <w:numPr>
          <w:ilvl w:val="0"/>
          <w:numId w:val="6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Uczestnicy/czki zobowiązują się do wypełniania listy obecności, potwierdzania kart doradczych oraz ankiet oceniających świadczone wsparcie.</w:t>
      </w:r>
    </w:p>
    <w:p>
      <w:pPr>
        <w:pStyle w:val="Normal"/>
        <w:widowControl/>
        <w:numPr>
          <w:ilvl w:val="0"/>
          <w:numId w:val="6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Uczestnicy/czki już w trakcie procesu rekrutacji akceptują zasady ewaluacji Projektu.</w:t>
      </w:r>
    </w:p>
    <w:p>
      <w:pPr>
        <w:pStyle w:val="Normal"/>
        <w:widowControl/>
        <w:numPr>
          <w:ilvl w:val="0"/>
          <w:numId w:val="6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Uczestnicy/czki  obowiązują się do uczestnictwa we wszystkich wskazanych w formularzu osobowym formach wsparcia.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§ 7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Zasady rezygnacji z uczestnictwa w projekcie</w:t>
      </w:r>
    </w:p>
    <w:p>
      <w:pPr>
        <w:pStyle w:val="Normal"/>
        <w:widowControl/>
        <w:numPr>
          <w:ilvl w:val="0"/>
          <w:numId w:val="9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 przypadku rezygnacji z uczestnictwa w projekcie Uczestnik/czka lub rodzina zobowiązuje się poinformować o tym fakcie - osobiście, telefonicznie bądź za pośrednictwem Internetu – Lidera Projektu przedstawiciela Stowarzyszenia Monti niezwłocznie po zaistnieniu okoliczności, będących przyczyną rezygnacji. </w:t>
      </w:r>
    </w:p>
    <w:p>
      <w:pPr>
        <w:pStyle w:val="Normal"/>
        <w:widowControl/>
        <w:numPr>
          <w:ilvl w:val="0"/>
          <w:numId w:val="9"/>
        </w:numPr>
        <w:tabs>
          <w:tab w:val="left" w:pos="0" w:leader="none"/>
        </w:tabs>
        <w:suppressAutoHyphens w:val="true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 przypadku rezygnacji z uczestnictwa w projekcie po podpisaniu formularza zgłoszeniowego o udzielenie wsparcia Uczestnik/czka lub rodzina zobowiązana jest do złożenia pisemnego oświadczenia określającego przyczyny rezygnacji. </w:t>
      </w:r>
    </w:p>
    <w:p>
      <w:pPr>
        <w:pStyle w:val="Normal"/>
        <w:widowControl/>
        <w:numPr>
          <w:ilvl w:val="0"/>
          <w:numId w:val="9"/>
        </w:numPr>
        <w:tabs>
          <w:tab w:val="left" w:pos="0" w:leader="none"/>
        </w:tabs>
        <w:suppressAutoHyphens w:val="true"/>
        <w:spacing w:before="0" w:after="280"/>
        <w:ind w:left="0" w:hanging="426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Organizator  zastrzega sobie prawo do skreślenia Uczestnika/czki lub rodziny z listy uczestników/czek Projektu w przypadku naruszenia przez niego niniejszego regulaminu lub innych postanowień określonych odrębnymi zasadami lub zasad współżycia społecznego.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Sporządziła: Anna Zalewa – Prezes Stowarzyszenia Monti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cstheme="minorHAnsi" w:ascii="Calibri" w:hAnsi="Calibri"/>
          <w:b/>
          <w:color w:val="000000" w:themeColor="text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Zatwierdzono dnia ……………………………………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4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NimbusSanL-Regu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ascii="Calibri" w:hAnsi="Calibri" w:asciiTheme="minorHAnsi" w:cstheme="minorHAnsi" w:hAnsiTheme="minorHAnsi"/>
        <w:bCs/>
        <w:color w:val="000000" w:themeColor="text1"/>
        <w:sz w:val="20"/>
        <w:szCs w:val="20"/>
      </w:rPr>
      <w:t xml:space="preserve">Projektu </w:t>
    </w:r>
    <w:r>
      <w:rPr>
        <w:rFonts w:eastAsia="Calibri" w:cs="Calibri" w:ascii="Calibri" w:hAnsi="Calibri" w:asciiTheme="minorHAnsi" w:cstheme="minorHAnsi" w:eastAsiaTheme="minorHAnsi" w:hAnsiTheme="minorHAnsi"/>
        <w:i/>
        <w:color w:val="000000" w:themeColor="text1"/>
        <w:sz w:val="20"/>
        <w:szCs w:val="20"/>
      </w:rPr>
      <w:t>„Pomyślny wiatr”</w:t>
    </w:r>
  </w:p>
  <w:p>
    <w:pPr>
      <w:pStyle w:val="Stopka"/>
      <w:tabs>
        <w:tab w:val="left" w:pos="3120" w:leader="none"/>
      </w:tabs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color w:val="000000" w:themeColor="text1"/>
        <w:sz w:val="20"/>
        <w:szCs w:val="20"/>
      </w:rPr>
      <w:t>realizowany jest w ramach</w:t>
    </w:r>
    <w:r>
      <w:rPr>
        <w:rFonts w:cs="Arial" w:ascii="Arial" w:hAnsi="Arial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RPWM.11.02.03 Ułatwienie dostępu do usług społecznych,                 </w:t>
    </w:r>
  </w:p>
  <w:p>
    <w:pPr>
      <w:pStyle w:val="Stopka"/>
      <w:tabs>
        <w:tab w:val="left" w:pos="3120" w:leader="none"/>
      </w:tabs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w tym integracja ze środowiskiem lokalnym, </w:t>
    </w:r>
    <w:r>
      <w:rPr>
        <w:rFonts w:cs="Calibri" w:ascii="Calibri" w:hAnsi="Calibri" w:asciiTheme="minorHAnsi" w:cstheme="minorHAnsi" w:hAnsiTheme="minorHAnsi"/>
        <w:color w:val="000000" w:themeColor="text1"/>
        <w:sz w:val="20"/>
        <w:szCs w:val="20"/>
      </w:rPr>
      <w:t xml:space="preserve">w ramach </w:t>
    </w:r>
    <w:r>
      <w:rPr>
        <w:rFonts w:cs="Calibri" w:ascii="Calibri" w:hAnsi="Calibri" w:asciiTheme="minorHAnsi" w:cstheme="minorHAnsi" w:hAnsiTheme="minorHAnsi"/>
        <w:sz w:val="20"/>
        <w:szCs w:val="20"/>
      </w:rPr>
      <w:t>Regionalnego Programu Operacyjnego Województwa Warmińsko-Mazurskiego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3810" distL="0" distR="0">
          <wp:extent cx="5676900" cy="54864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 w:val="false"/>
        <w:szCs w:val="24"/>
        <w:bCs/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b/>
        <w:szCs w:val="22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 w:val="false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sz w:val="22"/>
        <w:b/>
        <w:szCs w:val="22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63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263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2d19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2d1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Times New Roman"/>
      <w:b/>
      <w:sz w:val="22"/>
      <w:szCs w:val="22"/>
    </w:rPr>
  </w:style>
  <w:style w:type="character" w:styleId="ListLabel2">
    <w:name w:val="ListLabel 2"/>
    <w:qFormat/>
    <w:rPr>
      <w:rFonts w:cs="Calibri"/>
      <w:b/>
      <w:sz w:val="22"/>
      <w:szCs w:val="22"/>
    </w:rPr>
  </w:style>
  <w:style w:type="character" w:styleId="ListLabel3">
    <w:name w:val="ListLabel 3"/>
    <w:qFormat/>
    <w:rPr>
      <w:rFonts w:cs="Calibri"/>
      <w:b/>
      <w:sz w:val="22"/>
      <w:szCs w:val="22"/>
    </w:rPr>
  </w:style>
  <w:style w:type="character" w:styleId="ListLabel4">
    <w:name w:val="ListLabel 4"/>
    <w:qFormat/>
    <w:rPr>
      <w:rFonts w:eastAsia="Times New Roman" w:cs="Calibri"/>
      <w:b w:val="false"/>
      <w:bCs/>
      <w:i w:val="false"/>
      <w:sz w:val="24"/>
      <w:szCs w:val="24"/>
    </w:rPr>
  </w:style>
  <w:style w:type="character" w:styleId="ListLabel5">
    <w:name w:val="ListLabel 5"/>
    <w:qFormat/>
    <w:rPr>
      <w:rFonts w:cs="Calibri"/>
      <w:b w:val="false"/>
      <w:sz w:val="22"/>
      <w:szCs w:val="22"/>
    </w:rPr>
  </w:style>
  <w:style w:type="character" w:styleId="ListLabel6">
    <w:name w:val="ListLabel 6"/>
    <w:qFormat/>
    <w:rPr>
      <w:rFonts w:cs="Symbol"/>
      <w:b/>
      <w:color w:val="000000"/>
      <w:sz w:val="22"/>
      <w:szCs w:val="22"/>
    </w:rPr>
  </w:style>
  <w:style w:type="character" w:styleId="ListLabel7">
    <w:name w:val="ListLabel 7"/>
    <w:qFormat/>
    <w:rPr>
      <w:b/>
      <w:sz w:val="22"/>
      <w:szCs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Stopka"/>
    <w:basedOn w:val="Normal"/>
    <w:link w:val="StopkaZnak"/>
    <w:uiPriority w:val="99"/>
    <w:unhideWhenUsed/>
    <w:rsid w:val="001c263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c263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c263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2d19"/>
    <w:pPr/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672d1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2020-08-30T14:15:00Z</dcterms:created>
  <dc:creator>Natasza</dc:creator>
  <dc:language>pl-PL</dc:language>
  <cp:lastModifiedBy>Natasza</cp:lastModifiedBy>
  <dcterms:modified xsi:type="dcterms:W3CDTF">2020-08-30T15:45:00Z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